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33" w:rsidRPr="00784CC5" w:rsidRDefault="00F71F33" w:rsidP="00784CC5">
      <w:pPr>
        <w:ind w:left="2832"/>
        <w:jc w:val="center"/>
        <w:rPr>
          <w:b/>
          <w:sz w:val="28"/>
          <w:szCs w:val="28"/>
        </w:rPr>
      </w:pPr>
    </w:p>
    <w:p w:rsidR="00A4596F" w:rsidRPr="00B33361" w:rsidRDefault="00A4596F" w:rsidP="00A4596F">
      <w:pPr>
        <w:pStyle w:val="Tretekstu"/>
        <w:spacing w:after="0" w:line="276" w:lineRule="auto"/>
        <w:ind w:firstLine="6"/>
        <w:jc w:val="center"/>
        <w:rPr>
          <w:b/>
        </w:rPr>
      </w:pPr>
      <w:r w:rsidRPr="00B33361">
        <w:rPr>
          <w:b/>
        </w:rPr>
        <w:t>OGÓLNA CHARAKTERYSTYKA KIERUNKU STUDIÓW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3"/>
        <w:gridCol w:w="6093"/>
      </w:tblGrid>
      <w:tr w:rsidR="00A4596F" w:rsidRPr="00B33361" w:rsidTr="00784CC5">
        <w:tc>
          <w:tcPr>
            <w:tcW w:w="1719" w:type="pct"/>
            <w:shd w:val="clear" w:color="auto" w:fill="F2F2F2"/>
            <w:vAlign w:val="center"/>
          </w:tcPr>
          <w:p w:rsidR="00A4596F" w:rsidRPr="00784CC5" w:rsidRDefault="00A4596F" w:rsidP="007E663B">
            <w:pPr>
              <w:rPr>
                <w:sz w:val="21"/>
                <w:szCs w:val="21"/>
              </w:rPr>
            </w:pPr>
            <w:r w:rsidRPr="00784CC5">
              <w:rPr>
                <w:sz w:val="21"/>
                <w:szCs w:val="21"/>
              </w:rPr>
              <w:t>Nazwa kierunku studiów:</w:t>
            </w:r>
          </w:p>
        </w:tc>
        <w:tc>
          <w:tcPr>
            <w:tcW w:w="3281" w:type="pct"/>
            <w:vAlign w:val="center"/>
          </w:tcPr>
          <w:p w:rsidR="00A4596F" w:rsidRPr="00D72D5E" w:rsidRDefault="005B58D4" w:rsidP="007E663B">
            <w:pPr>
              <w:rPr>
                <w:rFonts w:cs="Times New Roman"/>
                <w:b/>
              </w:rPr>
            </w:pPr>
            <w:r w:rsidRPr="00D72D5E">
              <w:rPr>
                <w:rFonts w:cs="Times New Roman"/>
                <w:b/>
                <w:sz w:val="22"/>
                <w:szCs w:val="22"/>
              </w:rPr>
              <w:t>Zarządzanie</w:t>
            </w:r>
          </w:p>
        </w:tc>
      </w:tr>
      <w:tr w:rsidR="00A4596F" w:rsidRPr="00B33361" w:rsidTr="00784CC5">
        <w:tc>
          <w:tcPr>
            <w:tcW w:w="1719" w:type="pct"/>
            <w:shd w:val="clear" w:color="auto" w:fill="F2F2F2"/>
            <w:vAlign w:val="center"/>
          </w:tcPr>
          <w:p w:rsidR="00A4596F" w:rsidRPr="00784CC5" w:rsidRDefault="00A4596F" w:rsidP="007E663B">
            <w:pPr>
              <w:rPr>
                <w:sz w:val="21"/>
                <w:szCs w:val="21"/>
              </w:rPr>
            </w:pPr>
            <w:r w:rsidRPr="00784CC5">
              <w:rPr>
                <w:sz w:val="21"/>
                <w:szCs w:val="21"/>
              </w:rPr>
              <w:t>Poziom studiów:</w:t>
            </w:r>
          </w:p>
        </w:tc>
        <w:tc>
          <w:tcPr>
            <w:tcW w:w="3281" w:type="pct"/>
            <w:vAlign w:val="center"/>
          </w:tcPr>
          <w:p w:rsidR="00A4596F" w:rsidRPr="00D72D5E" w:rsidRDefault="005B58D4" w:rsidP="001E1FCA">
            <w:pPr>
              <w:pStyle w:val="Akapitzlist"/>
              <w:spacing w:after="0" w:line="240" w:lineRule="auto"/>
              <w:ind w:left="0"/>
              <w:rPr>
                <w:rFonts w:ascii="Times New Roman" w:hAnsi="Times New Roman"/>
                <w:sz w:val="24"/>
                <w:szCs w:val="24"/>
              </w:rPr>
            </w:pPr>
            <w:r w:rsidRPr="00D72D5E">
              <w:rPr>
                <w:rFonts w:ascii="Times New Roman" w:hAnsi="Times New Roman"/>
              </w:rPr>
              <w:t xml:space="preserve">Studia </w:t>
            </w:r>
            <w:r w:rsidR="001E1FCA">
              <w:rPr>
                <w:rFonts w:ascii="Times New Roman" w:hAnsi="Times New Roman"/>
              </w:rPr>
              <w:t>pierwszego</w:t>
            </w:r>
            <w:r w:rsidRPr="00D72D5E">
              <w:rPr>
                <w:rFonts w:ascii="Times New Roman" w:hAnsi="Times New Roman"/>
              </w:rPr>
              <w:t xml:space="preserve"> stopnia (studia </w:t>
            </w:r>
            <w:r w:rsidR="001E1FCA">
              <w:rPr>
                <w:rFonts w:ascii="Times New Roman" w:hAnsi="Times New Roman"/>
              </w:rPr>
              <w:t>licencjackie</w:t>
            </w:r>
            <w:r w:rsidRPr="00D72D5E">
              <w:rPr>
                <w:rFonts w:ascii="Times New Roman" w:hAnsi="Times New Roman"/>
              </w:rPr>
              <w:t>)</w:t>
            </w:r>
          </w:p>
        </w:tc>
      </w:tr>
      <w:tr w:rsidR="00A4596F" w:rsidRPr="00B33361" w:rsidTr="00784CC5">
        <w:tc>
          <w:tcPr>
            <w:tcW w:w="1719" w:type="pct"/>
            <w:shd w:val="clear" w:color="auto" w:fill="F2F2F2"/>
            <w:vAlign w:val="center"/>
          </w:tcPr>
          <w:p w:rsidR="00A4596F" w:rsidRPr="00784CC5" w:rsidRDefault="00A4596F" w:rsidP="007E663B">
            <w:pPr>
              <w:rPr>
                <w:sz w:val="21"/>
                <w:szCs w:val="21"/>
              </w:rPr>
            </w:pPr>
            <w:r w:rsidRPr="00784CC5">
              <w:rPr>
                <w:sz w:val="21"/>
                <w:szCs w:val="21"/>
              </w:rPr>
              <w:t>Profil:</w:t>
            </w:r>
          </w:p>
        </w:tc>
        <w:tc>
          <w:tcPr>
            <w:tcW w:w="3281" w:type="pct"/>
            <w:vAlign w:val="center"/>
          </w:tcPr>
          <w:p w:rsidR="00A4596F" w:rsidRPr="00D72D5E" w:rsidRDefault="005B58D4" w:rsidP="007E663B">
            <w:pPr>
              <w:pStyle w:val="Akapitzlist"/>
              <w:spacing w:after="0" w:line="240" w:lineRule="auto"/>
              <w:ind w:left="0"/>
              <w:rPr>
                <w:rFonts w:ascii="Times New Roman" w:hAnsi="Times New Roman"/>
                <w:sz w:val="24"/>
                <w:szCs w:val="24"/>
              </w:rPr>
            </w:pPr>
            <w:r w:rsidRPr="00D72D5E">
              <w:rPr>
                <w:rFonts w:ascii="Times New Roman" w:hAnsi="Times New Roman"/>
              </w:rPr>
              <w:t>Praktyczny</w:t>
            </w:r>
          </w:p>
        </w:tc>
      </w:tr>
      <w:tr w:rsidR="00A4596F" w:rsidRPr="00B33361" w:rsidTr="00784CC5">
        <w:tc>
          <w:tcPr>
            <w:tcW w:w="1719" w:type="pct"/>
            <w:shd w:val="clear" w:color="auto" w:fill="F2F2F2"/>
            <w:vAlign w:val="center"/>
          </w:tcPr>
          <w:p w:rsidR="00A4596F" w:rsidRPr="00784CC5" w:rsidRDefault="00A4596F" w:rsidP="007E663B">
            <w:pPr>
              <w:rPr>
                <w:sz w:val="21"/>
                <w:szCs w:val="21"/>
              </w:rPr>
            </w:pPr>
            <w:r w:rsidRPr="00784CC5">
              <w:rPr>
                <w:sz w:val="21"/>
                <w:szCs w:val="21"/>
              </w:rPr>
              <w:t>Forma studiów:</w:t>
            </w:r>
          </w:p>
        </w:tc>
        <w:tc>
          <w:tcPr>
            <w:tcW w:w="3281" w:type="pct"/>
            <w:vAlign w:val="center"/>
          </w:tcPr>
          <w:p w:rsidR="005B58D4" w:rsidRPr="00D72D5E" w:rsidRDefault="005B58D4" w:rsidP="005B58D4">
            <w:pPr>
              <w:pStyle w:val="Akapitzlist"/>
              <w:spacing w:after="0" w:line="240" w:lineRule="auto"/>
              <w:ind w:left="0"/>
              <w:rPr>
                <w:rFonts w:ascii="Times New Roman" w:hAnsi="Times New Roman"/>
              </w:rPr>
            </w:pPr>
            <w:r w:rsidRPr="00D72D5E">
              <w:rPr>
                <w:rFonts w:ascii="Times New Roman" w:hAnsi="Times New Roman"/>
              </w:rPr>
              <w:t>Stacjonarne</w:t>
            </w:r>
          </w:p>
          <w:p w:rsidR="00A4596F" w:rsidRPr="00D72D5E" w:rsidRDefault="005B58D4" w:rsidP="005B58D4">
            <w:pPr>
              <w:pStyle w:val="Akapitzlist"/>
              <w:spacing w:after="0" w:line="240" w:lineRule="auto"/>
              <w:ind w:left="0"/>
              <w:rPr>
                <w:rFonts w:ascii="Times New Roman" w:hAnsi="Times New Roman"/>
                <w:sz w:val="24"/>
                <w:szCs w:val="24"/>
              </w:rPr>
            </w:pPr>
            <w:r w:rsidRPr="00D72D5E">
              <w:rPr>
                <w:rFonts w:ascii="Times New Roman" w:hAnsi="Times New Roman"/>
              </w:rPr>
              <w:t>Niestacjonarne</w:t>
            </w:r>
          </w:p>
        </w:tc>
      </w:tr>
      <w:tr w:rsidR="00A4596F" w:rsidRPr="00B33361" w:rsidTr="00784CC5">
        <w:tc>
          <w:tcPr>
            <w:tcW w:w="1719" w:type="pct"/>
            <w:shd w:val="clear" w:color="auto" w:fill="F2F2F2"/>
            <w:vAlign w:val="center"/>
          </w:tcPr>
          <w:p w:rsidR="00A4596F" w:rsidRPr="00784CC5" w:rsidRDefault="00A4596F" w:rsidP="007E663B">
            <w:pPr>
              <w:rPr>
                <w:sz w:val="21"/>
                <w:szCs w:val="21"/>
              </w:rPr>
            </w:pPr>
            <w:r w:rsidRPr="00784CC5">
              <w:rPr>
                <w:sz w:val="21"/>
                <w:szCs w:val="21"/>
              </w:rPr>
              <w:t>Czas trwania studiów (liczba semestrów) i łączna liczba godzin:</w:t>
            </w:r>
          </w:p>
        </w:tc>
        <w:tc>
          <w:tcPr>
            <w:tcW w:w="3281" w:type="pct"/>
            <w:vAlign w:val="center"/>
          </w:tcPr>
          <w:p w:rsidR="009B1021" w:rsidRDefault="001E1FCA" w:rsidP="007E663B">
            <w:pPr>
              <w:pStyle w:val="Akapitzlist"/>
              <w:spacing w:after="0" w:line="240" w:lineRule="auto"/>
              <w:ind w:left="0"/>
              <w:rPr>
                <w:rFonts w:ascii="Times New Roman" w:hAnsi="Times New Roman"/>
              </w:rPr>
            </w:pPr>
            <w:r>
              <w:rPr>
                <w:rFonts w:ascii="Times New Roman" w:hAnsi="Times New Roman"/>
              </w:rPr>
              <w:t>6</w:t>
            </w:r>
            <w:r w:rsidR="00F9569A">
              <w:rPr>
                <w:rFonts w:ascii="Times New Roman" w:hAnsi="Times New Roman"/>
              </w:rPr>
              <w:t xml:space="preserve"> semestrów</w:t>
            </w:r>
            <w:r w:rsidR="00507AF5">
              <w:rPr>
                <w:rFonts w:ascii="Times New Roman" w:hAnsi="Times New Roman"/>
              </w:rPr>
              <w:t xml:space="preserve">, </w:t>
            </w:r>
          </w:p>
          <w:p w:rsidR="009B1021" w:rsidRPr="00F9569A" w:rsidRDefault="00F9569A" w:rsidP="007E663B">
            <w:pPr>
              <w:pStyle w:val="Akapitzlist"/>
              <w:spacing w:after="0" w:line="240" w:lineRule="auto"/>
              <w:ind w:left="0"/>
              <w:rPr>
                <w:rFonts w:ascii="Times New Roman" w:hAnsi="Times New Roman"/>
              </w:rPr>
            </w:pPr>
            <w:r w:rsidRPr="00F9569A">
              <w:rPr>
                <w:rFonts w:ascii="Times New Roman" w:hAnsi="Times New Roman"/>
              </w:rPr>
              <w:t>1995</w:t>
            </w:r>
            <w:r w:rsidR="00507AF5" w:rsidRPr="00F9569A">
              <w:rPr>
                <w:rFonts w:ascii="Times New Roman" w:hAnsi="Times New Roman"/>
              </w:rPr>
              <w:t xml:space="preserve"> godz. stacjonarne</w:t>
            </w:r>
            <w:r w:rsidR="009B1021" w:rsidRPr="00F9569A">
              <w:rPr>
                <w:rFonts w:ascii="Times New Roman" w:hAnsi="Times New Roman"/>
              </w:rPr>
              <w:t>,</w:t>
            </w:r>
            <w:r w:rsidR="00507AF5" w:rsidRPr="00F9569A">
              <w:rPr>
                <w:rFonts w:ascii="Times New Roman" w:hAnsi="Times New Roman"/>
              </w:rPr>
              <w:t xml:space="preserve"> </w:t>
            </w:r>
          </w:p>
          <w:p w:rsidR="00A4596F" w:rsidRPr="009B1021" w:rsidRDefault="00F9569A" w:rsidP="007E663B">
            <w:pPr>
              <w:pStyle w:val="Akapitzlist"/>
              <w:spacing w:after="0" w:line="240" w:lineRule="auto"/>
              <w:ind w:left="0"/>
              <w:rPr>
                <w:rFonts w:ascii="Times New Roman" w:hAnsi="Times New Roman"/>
              </w:rPr>
            </w:pPr>
            <w:r>
              <w:rPr>
                <w:rFonts w:ascii="Times New Roman" w:hAnsi="Times New Roman"/>
              </w:rPr>
              <w:t>1430</w:t>
            </w:r>
            <w:r w:rsidR="00507AF5">
              <w:rPr>
                <w:rFonts w:ascii="Times New Roman" w:hAnsi="Times New Roman"/>
              </w:rPr>
              <w:t xml:space="preserve"> godz. niestacjonarne</w:t>
            </w:r>
          </w:p>
        </w:tc>
      </w:tr>
      <w:tr w:rsidR="00A4596F" w:rsidRPr="00B33361" w:rsidTr="00784CC5">
        <w:tc>
          <w:tcPr>
            <w:tcW w:w="1719" w:type="pct"/>
            <w:shd w:val="clear" w:color="auto" w:fill="F2F2F2"/>
            <w:vAlign w:val="center"/>
          </w:tcPr>
          <w:p w:rsidR="00A4596F" w:rsidRPr="00784CC5" w:rsidRDefault="00A4596F" w:rsidP="007E663B">
            <w:pPr>
              <w:rPr>
                <w:sz w:val="21"/>
                <w:szCs w:val="21"/>
              </w:rPr>
            </w:pPr>
            <w:r w:rsidRPr="00784CC5">
              <w:rPr>
                <w:sz w:val="21"/>
                <w:szCs w:val="21"/>
              </w:rPr>
              <w:t>Liczba punktów ECTS konieczna do ukończenia studiów na danym poziomie:</w:t>
            </w:r>
          </w:p>
        </w:tc>
        <w:tc>
          <w:tcPr>
            <w:tcW w:w="3281" w:type="pct"/>
            <w:vAlign w:val="center"/>
          </w:tcPr>
          <w:p w:rsidR="00A4596F" w:rsidRPr="00D72D5E" w:rsidRDefault="001E1FCA" w:rsidP="00F9569A">
            <w:pPr>
              <w:pStyle w:val="Akapitzlist"/>
              <w:spacing w:after="0" w:line="240" w:lineRule="auto"/>
              <w:ind w:left="0"/>
              <w:rPr>
                <w:rFonts w:ascii="Times New Roman" w:hAnsi="Times New Roman"/>
                <w:sz w:val="24"/>
                <w:szCs w:val="24"/>
              </w:rPr>
            </w:pPr>
            <w:r w:rsidRPr="00501F2B">
              <w:rPr>
                <w:rFonts w:ascii="Times New Roman" w:hAnsi="Times New Roman"/>
              </w:rPr>
              <w:t>2</w:t>
            </w:r>
            <w:r w:rsidR="00F9569A">
              <w:rPr>
                <w:rFonts w:ascii="Times New Roman" w:hAnsi="Times New Roman"/>
              </w:rPr>
              <w:t>1</w:t>
            </w:r>
            <w:r w:rsidRPr="00501F2B">
              <w:rPr>
                <w:rFonts w:ascii="Times New Roman" w:hAnsi="Times New Roman"/>
              </w:rPr>
              <w:t xml:space="preserve">5 </w:t>
            </w:r>
            <w:r w:rsidRPr="001C65BA">
              <w:rPr>
                <w:rFonts w:ascii="Times New Roman" w:hAnsi="Times New Roman"/>
              </w:rPr>
              <w:t>ECTS</w:t>
            </w:r>
          </w:p>
        </w:tc>
      </w:tr>
      <w:tr w:rsidR="00A4596F" w:rsidRPr="00B33361" w:rsidTr="00784CC5">
        <w:tc>
          <w:tcPr>
            <w:tcW w:w="1719" w:type="pct"/>
            <w:shd w:val="clear" w:color="auto" w:fill="F2F2F2"/>
            <w:vAlign w:val="center"/>
          </w:tcPr>
          <w:p w:rsidR="00A4596F" w:rsidRPr="00784CC5" w:rsidRDefault="00A4596F" w:rsidP="007E663B">
            <w:pPr>
              <w:rPr>
                <w:sz w:val="21"/>
                <w:szCs w:val="21"/>
              </w:rPr>
            </w:pPr>
            <w:r w:rsidRPr="00784CC5">
              <w:rPr>
                <w:sz w:val="21"/>
                <w:szCs w:val="21"/>
              </w:rPr>
              <w:t>Tytuł zawodowy nadawany absolwentom:</w:t>
            </w:r>
          </w:p>
        </w:tc>
        <w:tc>
          <w:tcPr>
            <w:tcW w:w="3281" w:type="pct"/>
            <w:vAlign w:val="center"/>
          </w:tcPr>
          <w:p w:rsidR="00A4596F" w:rsidRPr="00D72D5E" w:rsidRDefault="001E1FCA" w:rsidP="007E663B">
            <w:pPr>
              <w:pStyle w:val="Akapitzlist"/>
              <w:spacing w:after="0" w:line="240" w:lineRule="auto"/>
              <w:ind w:left="0"/>
              <w:rPr>
                <w:rFonts w:ascii="Times New Roman" w:hAnsi="Times New Roman"/>
                <w:sz w:val="24"/>
                <w:szCs w:val="24"/>
              </w:rPr>
            </w:pPr>
            <w:r>
              <w:rPr>
                <w:rFonts w:ascii="Times New Roman" w:hAnsi="Times New Roman"/>
              </w:rPr>
              <w:t>Licencjat</w:t>
            </w:r>
          </w:p>
        </w:tc>
      </w:tr>
      <w:tr w:rsidR="00A4596F" w:rsidRPr="00B33361" w:rsidTr="00784CC5">
        <w:tc>
          <w:tcPr>
            <w:tcW w:w="1719" w:type="pct"/>
            <w:shd w:val="clear" w:color="auto" w:fill="F2F2F2"/>
            <w:vAlign w:val="center"/>
          </w:tcPr>
          <w:p w:rsidR="00A4596F" w:rsidRPr="00784CC5" w:rsidRDefault="00A4596F" w:rsidP="007E663B">
            <w:pPr>
              <w:rPr>
                <w:sz w:val="21"/>
                <w:szCs w:val="21"/>
              </w:rPr>
            </w:pPr>
            <w:r w:rsidRPr="00784CC5">
              <w:rPr>
                <w:sz w:val="21"/>
                <w:szCs w:val="21"/>
              </w:rPr>
              <w:t>Dziedzina/-y nauki, do której/-</w:t>
            </w:r>
            <w:proofErr w:type="spellStart"/>
            <w:r w:rsidRPr="00784CC5">
              <w:rPr>
                <w:sz w:val="21"/>
                <w:szCs w:val="21"/>
              </w:rPr>
              <w:t>ych</w:t>
            </w:r>
            <w:proofErr w:type="spellEnd"/>
            <w:r w:rsidRPr="00784CC5">
              <w:rPr>
                <w:sz w:val="21"/>
                <w:szCs w:val="21"/>
              </w:rPr>
              <w:t xml:space="preserve"> przyporządkowany jest kierunek studiów:</w:t>
            </w:r>
          </w:p>
        </w:tc>
        <w:tc>
          <w:tcPr>
            <w:tcW w:w="3281" w:type="pct"/>
            <w:vAlign w:val="center"/>
          </w:tcPr>
          <w:p w:rsidR="00A4596F" w:rsidRPr="00D72D5E" w:rsidRDefault="005B58D4" w:rsidP="007E663B">
            <w:pPr>
              <w:pStyle w:val="Akapitzlist"/>
              <w:spacing w:after="0" w:line="240" w:lineRule="auto"/>
              <w:ind w:left="0"/>
              <w:rPr>
                <w:rFonts w:ascii="Times New Roman" w:hAnsi="Times New Roman"/>
                <w:sz w:val="24"/>
                <w:szCs w:val="24"/>
              </w:rPr>
            </w:pPr>
            <w:r w:rsidRPr="009B1021">
              <w:rPr>
                <w:rFonts w:ascii="Times New Roman" w:hAnsi="Times New Roman"/>
              </w:rPr>
              <w:t>Dziedzina nauk społecznych</w:t>
            </w:r>
            <w:r w:rsidRPr="00D72D5E">
              <w:rPr>
                <w:rFonts w:ascii="Times New Roman" w:hAnsi="Times New Roman"/>
              </w:rPr>
              <w:t xml:space="preserve"> - 100%</w:t>
            </w:r>
          </w:p>
        </w:tc>
      </w:tr>
      <w:tr w:rsidR="00A4596F" w:rsidRPr="00B33361" w:rsidTr="00784CC5">
        <w:tc>
          <w:tcPr>
            <w:tcW w:w="1719" w:type="pct"/>
            <w:shd w:val="clear" w:color="auto" w:fill="F2F2F2"/>
            <w:vAlign w:val="center"/>
          </w:tcPr>
          <w:p w:rsidR="00A4596F" w:rsidRPr="00784CC5" w:rsidRDefault="00A4596F" w:rsidP="007E663B">
            <w:pPr>
              <w:rPr>
                <w:sz w:val="21"/>
                <w:szCs w:val="21"/>
              </w:rPr>
            </w:pPr>
            <w:r w:rsidRPr="00784CC5">
              <w:rPr>
                <w:sz w:val="21"/>
                <w:szCs w:val="21"/>
              </w:rPr>
              <w:t>Dyscyplina/-y naukowa/-e, do której/-</w:t>
            </w:r>
            <w:proofErr w:type="spellStart"/>
            <w:r w:rsidRPr="00784CC5">
              <w:rPr>
                <w:sz w:val="21"/>
                <w:szCs w:val="21"/>
              </w:rPr>
              <w:t>ych</w:t>
            </w:r>
            <w:proofErr w:type="spellEnd"/>
            <w:r w:rsidRPr="00784CC5">
              <w:rPr>
                <w:sz w:val="21"/>
                <w:szCs w:val="21"/>
              </w:rPr>
              <w:t xml:space="preserve"> przyporządkowany jest kierunek studiów:</w:t>
            </w:r>
          </w:p>
        </w:tc>
        <w:tc>
          <w:tcPr>
            <w:tcW w:w="3281" w:type="pct"/>
            <w:vAlign w:val="center"/>
          </w:tcPr>
          <w:p w:rsidR="001E1FCA" w:rsidRPr="001E1FCA" w:rsidRDefault="001E1FCA" w:rsidP="001E1FCA">
            <w:pPr>
              <w:pStyle w:val="Akapitzlist"/>
              <w:spacing w:after="0" w:line="240" w:lineRule="auto"/>
              <w:ind w:left="0"/>
              <w:rPr>
                <w:rFonts w:ascii="Times New Roman" w:hAnsi="Times New Roman"/>
              </w:rPr>
            </w:pPr>
            <w:r w:rsidRPr="00F866D6">
              <w:rPr>
                <w:rFonts w:ascii="Times New Roman" w:hAnsi="Times New Roman"/>
                <w:u w:val="single"/>
              </w:rPr>
              <w:t>Nauki o zarządzaniu i jakości</w:t>
            </w:r>
            <w:r w:rsidRPr="001E1FCA">
              <w:rPr>
                <w:rFonts w:ascii="Times New Roman" w:hAnsi="Times New Roman"/>
              </w:rPr>
              <w:t xml:space="preserve"> </w:t>
            </w:r>
            <w:r>
              <w:rPr>
                <w:rFonts w:ascii="Times New Roman" w:hAnsi="Times New Roman"/>
              </w:rPr>
              <w:t>(wiodąca)</w:t>
            </w:r>
            <w:r w:rsidR="00A62BA7">
              <w:rPr>
                <w:rFonts w:ascii="Times New Roman" w:hAnsi="Times New Roman"/>
              </w:rPr>
              <w:t xml:space="preserve"> </w:t>
            </w:r>
          </w:p>
          <w:p w:rsidR="001E1FCA" w:rsidRPr="000741ED" w:rsidRDefault="00750268" w:rsidP="001E1F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s="Times New Roman"/>
                <w:kern w:val="0"/>
                <w:lang w:eastAsia="pl-PL" w:bidi="ar-SA"/>
              </w:rPr>
            </w:pPr>
            <w:r>
              <w:rPr>
                <w:sz w:val="22"/>
                <w:szCs w:val="22"/>
              </w:rPr>
              <w:t>Ekonomia i f</w:t>
            </w:r>
            <w:r w:rsidR="001E1FCA" w:rsidRPr="001E1FCA">
              <w:rPr>
                <w:sz w:val="22"/>
                <w:szCs w:val="22"/>
              </w:rPr>
              <w:t>inanse</w:t>
            </w:r>
          </w:p>
        </w:tc>
      </w:tr>
      <w:tr w:rsidR="00A4596F" w:rsidRPr="00B33361" w:rsidTr="00784CC5">
        <w:tc>
          <w:tcPr>
            <w:tcW w:w="171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A4596F" w:rsidRPr="00784CC5" w:rsidRDefault="00A4596F" w:rsidP="007E663B">
            <w:pPr>
              <w:rPr>
                <w:sz w:val="21"/>
                <w:szCs w:val="21"/>
              </w:rPr>
            </w:pPr>
            <w:r w:rsidRPr="00784CC5">
              <w:rPr>
                <w:sz w:val="21"/>
                <w:szCs w:val="21"/>
              </w:rPr>
              <w:t xml:space="preserve">W przypadku programu studiów dla kierunku przyporządkowanego do więcej niż jednej dyscypliny należy określić procentowy udział liczby punktów ECTS dla każdej </w:t>
            </w:r>
          </w:p>
          <w:p w:rsidR="00A4596F" w:rsidRPr="00784CC5" w:rsidRDefault="00A4596F" w:rsidP="007E663B">
            <w:pPr>
              <w:rPr>
                <w:sz w:val="21"/>
                <w:szCs w:val="21"/>
              </w:rPr>
            </w:pPr>
            <w:r w:rsidRPr="00784CC5">
              <w:rPr>
                <w:sz w:val="21"/>
                <w:szCs w:val="21"/>
              </w:rPr>
              <w:t>z dyscyplin w łącznej liczbie punktów ECTS, ze wskazaniem dyscypliny wiodącej;</w:t>
            </w:r>
          </w:p>
        </w:tc>
        <w:tc>
          <w:tcPr>
            <w:tcW w:w="3281" w:type="pct"/>
            <w:tcBorders>
              <w:top w:val="single" w:sz="4" w:space="0" w:color="000000"/>
              <w:left w:val="single" w:sz="4" w:space="0" w:color="000000"/>
              <w:bottom w:val="single" w:sz="4" w:space="0" w:color="000000"/>
              <w:right w:val="single" w:sz="4" w:space="0" w:color="000000"/>
            </w:tcBorders>
            <w:vAlign w:val="center"/>
          </w:tcPr>
          <w:p w:rsidR="001E1FCA" w:rsidRPr="0064738C" w:rsidRDefault="001E1FCA" w:rsidP="001E1FCA">
            <w:pPr>
              <w:pStyle w:val="Akapitzlist"/>
              <w:spacing w:after="0" w:line="240" w:lineRule="auto"/>
              <w:ind w:left="0"/>
              <w:rPr>
                <w:rFonts w:ascii="Times New Roman" w:hAnsi="Times New Roman"/>
              </w:rPr>
            </w:pPr>
            <w:r w:rsidRPr="001E1FCA">
              <w:rPr>
                <w:rFonts w:ascii="Times New Roman" w:hAnsi="Times New Roman"/>
              </w:rPr>
              <w:t>Nauki o zarządzaniu i jakości (wiodąca)</w:t>
            </w:r>
            <w:r w:rsidR="00784CC5">
              <w:rPr>
                <w:rFonts w:ascii="Times New Roman" w:hAnsi="Times New Roman"/>
              </w:rPr>
              <w:t xml:space="preserve"> </w:t>
            </w:r>
            <w:r w:rsidRPr="0064738C">
              <w:rPr>
                <w:rFonts w:ascii="Times New Roman" w:hAnsi="Times New Roman"/>
              </w:rPr>
              <w:t xml:space="preserve">- </w:t>
            </w:r>
            <w:r w:rsidR="00750268" w:rsidRPr="0064738C">
              <w:rPr>
                <w:rFonts w:ascii="Times New Roman" w:hAnsi="Times New Roman"/>
              </w:rPr>
              <w:t>67</w:t>
            </w:r>
            <w:r w:rsidRPr="0064738C">
              <w:rPr>
                <w:rFonts w:ascii="Times New Roman" w:hAnsi="Times New Roman"/>
              </w:rPr>
              <w:t>% ECTS</w:t>
            </w:r>
          </w:p>
          <w:p w:rsidR="00A4596F" w:rsidRPr="00B33361" w:rsidRDefault="00750268" w:rsidP="00750268">
            <w:pPr>
              <w:pStyle w:val="Akapitzlist"/>
              <w:spacing w:after="0" w:line="240" w:lineRule="auto"/>
              <w:ind w:left="0"/>
              <w:rPr>
                <w:rFonts w:ascii="Times New Roman" w:hAnsi="Times New Roman"/>
                <w:sz w:val="24"/>
                <w:szCs w:val="24"/>
              </w:rPr>
            </w:pPr>
            <w:r w:rsidRPr="0064738C">
              <w:rPr>
                <w:rFonts w:ascii="Times New Roman" w:hAnsi="Times New Roman"/>
              </w:rPr>
              <w:t>Ekonomia i f</w:t>
            </w:r>
            <w:r w:rsidR="001E1FCA" w:rsidRPr="0064738C">
              <w:rPr>
                <w:rFonts w:ascii="Times New Roman" w:hAnsi="Times New Roman"/>
              </w:rPr>
              <w:t>inanse</w:t>
            </w:r>
            <w:r w:rsidR="00784CC5" w:rsidRPr="0064738C">
              <w:rPr>
                <w:rFonts w:ascii="Times New Roman" w:hAnsi="Times New Roman"/>
              </w:rPr>
              <w:t xml:space="preserve"> </w:t>
            </w:r>
            <w:r w:rsidR="001E1FCA" w:rsidRPr="0064738C">
              <w:rPr>
                <w:rFonts w:ascii="Times New Roman" w:hAnsi="Times New Roman"/>
              </w:rPr>
              <w:t xml:space="preserve">- </w:t>
            </w:r>
            <w:r w:rsidRPr="0064738C">
              <w:rPr>
                <w:rFonts w:ascii="Times New Roman" w:hAnsi="Times New Roman"/>
              </w:rPr>
              <w:t>33</w:t>
            </w:r>
            <w:r w:rsidR="001E1FCA" w:rsidRPr="0064738C">
              <w:rPr>
                <w:rFonts w:ascii="Times New Roman" w:hAnsi="Times New Roman"/>
              </w:rPr>
              <w:t>% ECTS</w:t>
            </w:r>
          </w:p>
        </w:tc>
      </w:tr>
      <w:tr w:rsidR="00A4596F" w:rsidRPr="00B33361" w:rsidTr="00784CC5">
        <w:tc>
          <w:tcPr>
            <w:tcW w:w="171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A4596F" w:rsidRPr="00784CC5" w:rsidRDefault="00A4596F" w:rsidP="007E663B">
            <w:pPr>
              <w:rPr>
                <w:sz w:val="21"/>
                <w:szCs w:val="21"/>
              </w:rPr>
            </w:pPr>
            <w:r w:rsidRPr="00784CC5">
              <w:rPr>
                <w:sz w:val="21"/>
                <w:szCs w:val="21"/>
              </w:rPr>
              <w:t>Termin rozpoczęcia cyklu:</w:t>
            </w:r>
          </w:p>
        </w:tc>
        <w:tc>
          <w:tcPr>
            <w:tcW w:w="3281" w:type="pct"/>
            <w:tcBorders>
              <w:top w:val="single" w:sz="4" w:space="0" w:color="000000"/>
              <w:left w:val="single" w:sz="4" w:space="0" w:color="000000"/>
              <w:bottom w:val="single" w:sz="4" w:space="0" w:color="000000"/>
              <w:right w:val="single" w:sz="4" w:space="0" w:color="000000"/>
            </w:tcBorders>
            <w:vAlign w:val="center"/>
          </w:tcPr>
          <w:p w:rsidR="00A4596F" w:rsidRPr="00D72D5E" w:rsidRDefault="0039497B" w:rsidP="00A11131">
            <w:pPr>
              <w:pStyle w:val="Akapitzlist"/>
              <w:spacing w:after="0" w:line="240" w:lineRule="auto"/>
              <w:ind w:left="0"/>
              <w:rPr>
                <w:rFonts w:ascii="Times New Roman" w:hAnsi="Times New Roman"/>
              </w:rPr>
            </w:pPr>
            <w:r w:rsidRPr="00784CC5">
              <w:rPr>
                <w:rFonts w:ascii="Times New Roman" w:hAnsi="Times New Roman"/>
              </w:rPr>
              <w:t>20</w:t>
            </w:r>
            <w:r w:rsidR="00A11131">
              <w:rPr>
                <w:rFonts w:ascii="Times New Roman" w:hAnsi="Times New Roman"/>
              </w:rPr>
              <w:t>20</w:t>
            </w:r>
            <w:r w:rsidR="00F866D6">
              <w:rPr>
                <w:rFonts w:ascii="Times New Roman" w:hAnsi="Times New Roman"/>
              </w:rPr>
              <w:t>/202</w:t>
            </w:r>
            <w:r w:rsidR="00A11131">
              <w:rPr>
                <w:rFonts w:ascii="Times New Roman" w:hAnsi="Times New Roman"/>
              </w:rPr>
              <w:t>1 i 2021/2022</w:t>
            </w:r>
          </w:p>
        </w:tc>
      </w:tr>
      <w:tr w:rsidR="00A4596F" w:rsidRPr="00B33361" w:rsidTr="00784CC5">
        <w:tc>
          <w:tcPr>
            <w:tcW w:w="171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A4596F" w:rsidRPr="00784CC5" w:rsidRDefault="00A4596F" w:rsidP="0027669F">
            <w:pPr>
              <w:rPr>
                <w:sz w:val="21"/>
                <w:szCs w:val="21"/>
              </w:rPr>
            </w:pPr>
            <w:r w:rsidRPr="00784CC5">
              <w:rPr>
                <w:sz w:val="21"/>
                <w:szCs w:val="21"/>
              </w:rPr>
              <w:t xml:space="preserve">Wskazanie związku kierunku studiów ze strategią rozwoju oraz misją </w:t>
            </w:r>
            <w:r w:rsidR="0027669F">
              <w:rPr>
                <w:sz w:val="21"/>
                <w:szCs w:val="21"/>
              </w:rPr>
              <w:t>KPU</w:t>
            </w:r>
            <w:r w:rsidRPr="00784CC5">
              <w:rPr>
                <w:sz w:val="21"/>
                <w:szCs w:val="21"/>
              </w:rPr>
              <w:t xml:space="preserve"> w Krośnie:</w:t>
            </w:r>
          </w:p>
        </w:tc>
        <w:tc>
          <w:tcPr>
            <w:tcW w:w="3281" w:type="pct"/>
            <w:tcBorders>
              <w:top w:val="single" w:sz="4" w:space="0" w:color="000000"/>
              <w:left w:val="single" w:sz="4" w:space="0" w:color="000000"/>
              <w:bottom w:val="single" w:sz="4" w:space="0" w:color="000000"/>
              <w:right w:val="single" w:sz="4" w:space="0" w:color="000000"/>
            </w:tcBorders>
            <w:vAlign w:val="center"/>
          </w:tcPr>
          <w:p w:rsidR="00A4596F" w:rsidRPr="00D72D5E" w:rsidRDefault="001E1FCA" w:rsidP="00A11131">
            <w:pPr>
              <w:pStyle w:val="Default"/>
              <w:jc w:val="both"/>
              <w:rPr>
                <w:color w:val="auto"/>
                <w:sz w:val="22"/>
                <w:szCs w:val="22"/>
              </w:rPr>
            </w:pPr>
            <w:r w:rsidRPr="001C65BA">
              <w:rPr>
                <w:rFonts w:eastAsia="Arial,Bold"/>
                <w:bCs/>
                <w:sz w:val="22"/>
                <w:szCs w:val="22"/>
              </w:rPr>
              <w:t xml:space="preserve">Kierunek Zarządzanie dostosowuje ofertę do realiów rynku pracy, umożliwiając absolwentom nabycie wiedzy, praktycznych umiejętności zawodowych i kompetencji społecznych w trakcie zajęć dydaktycznych oraz praktyk realizowanych w instytucjach publicznych i przedsiębiorstwach. Plany studiów i treści kształcenia uwzględniają doświadczenia i realia rynkowe. </w:t>
            </w:r>
            <w:r w:rsidRPr="001C65BA">
              <w:rPr>
                <w:sz w:val="22"/>
                <w:szCs w:val="22"/>
              </w:rPr>
              <w:t xml:space="preserve">Koncepcja </w:t>
            </w:r>
            <w:r w:rsidRPr="0064738C">
              <w:rPr>
                <w:sz w:val="22"/>
                <w:szCs w:val="22"/>
              </w:rPr>
              <w:t xml:space="preserve">kształcenia jest ściśle związana z </w:t>
            </w:r>
            <w:r w:rsidRPr="0064738C">
              <w:rPr>
                <w:bCs/>
                <w:sz w:val="22"/>
                <w:szCs w:val="22"/>
              </w:rPr>
              <w:t>misją i strategią rozwoju Uczelni</w:t>
            </w:r>
            <w:r w:rsidRPr="0064738C">
              <w:rPr>
                <w:sz w:val="22"/>
                <w:szCs w:val="22"/>
              </w:rPr>
              <w:t xml:space="preserve"> (Uchwała Nr </w:t>
            </w:r>
            <w:r w:rsidR="001A1AAC" w:rsidRPr="0064738C">
              <w:rPr>
                <w:sz w:val="22"/>
                <w:szCs w:val="22"/>
              </w:rPr>
              <w:t>20/19 z 2019</w:t>
            </w:r>
            <w:r w:rsidRPr="0064738C">
              <w:rPr>
                <w:sz w:val="22"/>
                <w:szCs w:val="22"/>
              </w:rPr>
              <w:t xml:space="preserve"> r.</w:t>
            </w:r>
            <w:r w:rsidR="00A11131">
              <w:rPr>
                <w:sz w:val="22"/>
                <w:szCs w:val="22"/>
              </w:rPr>
              <w:t xml:space="preserve"> i dalsze</w:t>
            </w:r>
            <w:r w:rsidRPr="0064738C">
              <w:rPr>
                <w:sz w:val="22"/>
                <w:szCs w:val="22"/>
              </w:rPr>
              <w:t>), zarówno</w:t>
            </w:r>
            <w:r w:rsidRPr="001C65BA">
              <w:rPr>
                <w:sz w:val="22"/>
                <w:szCs w:val="22"/>
              </w:rPr>
              <w:t xml:space="preserve"> w zakresie celów związanych z kształceniem i rozwojem kompetencji studentów, jak i budowania relacji z otoczeniem społecznym. Wiąże się to również z dokumentami strategicznymi, w tym m.in.: Strategią województwa – Podkarpackie 2020 czy Średniookresową Strategią Rozwoju Kraju 2020 (ŚSRK), w szczególności w obszarze budowania konkurencyjnej gospodarki i spójności społecznej, zasobów pracy i wysokiej jakości kapitału ludzkiego.</w:t>
            </w:r>
          </w:p>
        </w:tc>
      </w:tr>
      <w:tr w:rsidR="00A4596F" w:rsidRPr="00B33361" w:rsidTr="00784CC5">
        <w:tc>
          <w:tcPr>
            <w:tcW w:w="171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A4596F" w:rsidRPr="00784CC5" w:rsidRDefault="00A4596F" w:rsidP="007E663B">
            <w:pPr>
              <w:rPr>
                <w:sz w:val="21"/>
                <w:szCs w:val="21"/>
              </w:rPr>
            </w:pPr>
            <w:r w:rsidRPr="00784CC5">
              <w:rPr>
                <w:sz w:val="21"/>
                <w:szCs w:val="21"/>
              </w:rPr>
              <w:t>Informacja na temat uwzględnienia w programie studiów potrzeb społeczno-gospodarczych oraz zgodności zakładanych efektów uczenia się z tymi potrzebami:</w:t>
            </w:r>
          </w:p>
        </w:tc>
        <w:tc>
          <w:tcPr>
            <w:tcW w:w="3281" w:type="pct"/>
            <w:tcBorders>
              <w:top w:val="single" w:sz="4" w:space="0" w:color="000000"/>
              <w:left w:val="single" w:sz="4" w:space="0" w:color="000000"/>
              <w:bottom w:val="single" w:sz="4" w:space="0" w:color="000000"/>
              <w:right w:val="single" w:sz="4" w:space="0" w:color="000000"/>
            </w:tcBorders>
            <w:vAlign w:val="center"/>
          </w:tcPr>
          <w:p w:rsidR="00C56761" w:rsidRPr="00C56761" w:rsidRDefault="00C56761" w:rsidP="00A11131">
            <w:pPr>
              <w:pStyle w:val="Akapitzlist"/>
              <w:spacing w:after="0" w:line="240" w:lineRule="auto"/>
              <w:ind w:left="0"/>
              <w:rPr>
                <w:rFonts w:ascii="Times New Roman" w:hAnsi="Times New Roman"/>
              </w:rPr>
            </w:pPr>
            <w:r w:rsidRPr="00C56761">
              <w:rPr>
                <w:rFonts w:ascii="Times New Roman" w:hAnsi="Times New Roman"/>
              </w:rPr>
              <w:t>Na poziomie kierunku corocznie przygotowuje się raport na temat sytuacji na rynku pracy w kontekście zapotrzebowania na absolwentów kierunku Zarządzanie</w:t>
            </w:r>
            <w:r w:rsidR="005B6104">
              <w:rPr>
                <w:rFonts w:ascii="Times New Roman" w:hAnsi="Times New Roman"/>
              </w:rPr>
              <w:t>.</w:t>
            </w:r>
            <w:r w:rsidRPr="00C56761">
              <w:rPr>
                <w:rFonts w:ascii="Times New Roman" w:hAnsi="Times New Roman"/>
              </w:rPr>
              <w:t xml:space="preserve"> </w:t>
            </w:r>
          </w:p>
          <w:p w:rsidR="00C56761" w:rsidRPr="00D72D5E" w:rsidRDefault="00C56761" w:rsidP="00A11131">
            <w:pPr>
              <w:pStyle w:val="Default"/>
              <w:jc w:val="both"/>
              <w:rPr>
                <w:color w:val="auto"/>
                <w:sz w:val="22"/>
                <w:szCs w:val="22"/>
              </w:rPr>
            </w:pPr>
            <w:r w:rsidRPr="00C56761">
              <w:rPr>
                <w:sz w:val="22"/>
                <w:szCs w:val="22"/>
              </w:rPr>
              <w:t>Na zakończenie cyklu kształcenia wśród studentów ostatniego roku studiów przeprowadza się badanie poziomu</w:t>
            </w:r>
            <w:r w:rsidR="005B6104">
              <w:rPr>
                <w:sz w:val="22"/>
                <w:szCs w:val="22"/>
              </w:rPr>
              <w:t xml:space="preserve"> osiągnięcia efektów uczenia się</w:t>
            </w:r>
            <w:r w:rsidRPr="00C56761">
              <w:rPr>
                <w:sz w:val="22"/>
                <w:szCs w:val="22"/>
              </w:rPr>
              <w:t>. Wyniki opracowane w formie raportu omawiane są podczas zebrania pracowników zakładu.</w:t>
            </w:r>
          </w:p>
        </w:tc>
      </w:tr>
      <w:tr w:rsidR="00A4596F" w:rsidRPr="00B33361" w:rsidTr="00784CC5">
        <w:tc>
          <w:tcPr>
            <w:tcW w:w="171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A4596F" w:rsidRPr="00784CC5" w:rsidRDefault="00A4596F" w:rsidP="007E663B">
            <w:pPr>
              <w:rPr>
                <w:sz w:val="21"/>
                <w:szCs w:val="21"/>
              </w:rPr>
            </w:pPr>
            <w:r w:rsidRPr="00784CC5">
              <w:rPr>
                <w:sz w:val="21"/>
                <w:szCs w:val="21"/>
              </w:rPr>
              <w:t xml:space="preserve">Ogólne cele kształcenia oraz możliwości zatrudnienia, typowe miejsca pracy i możliwości kontynuacji kształcenia przez </w:t>
            </w:r>
            <w:r w:rsidRPr="00784CC5">
              <w:rPr>
                <w:sz w:val="21"/>
                <w:szCs w:val="21"/>
              </w:rPr>
              <w:lastRenderedPageBreak/>
              <w:t>absolwentów:</w:t>
            </w:r>
          </w:p>
        </w:tc>
        <w:tc>
          <w:tcPr>
            <w:tcW w:w="3281" w:type="pct"/>
            <w:tcBorders>
              <w:top w:val="single" w:sz="4" w:space="0" w:color="000000"/>
              <w:left w:val="single" w:sz="4" w:space="0" w:color="000000"/>
              <w:bottom w:val="single" w:sz="4" w:space="0" w:color="000000"/>
              <w:right w:val="single" w:sz="4" w:space="0" w:color="000000"/>
            </w:tcBorders>
            <w:vAlign w:val="center"/>
          </w:tcPr>
          <w:p w:rsidR="001E1FCA" w:rsidRPr="001C65BA" w:rsidRDefault="001E1FCA" w:rsidP="00A11131">
            <w:pPr>
              <w:spacing w:line="270" w:lineRule="atLeast"/>
              <w:rPr>
                <w:rFonts w:eastAsia="Times New Roman" w:cs="Times New Roman"/>
                <w:lang w:eastAsia="pl-PL"/>
              </w:rPr>
            </w:pPr>
            <w:r w:rsidRPr="001C65BA">
              <w:rPr>
                <w:rFonts w:eastAsia="Times New Roman" w:cs="Times New Roman"/>
                <w:sz w:val="22"/>
                <w:szCs w:val="22"/>
                <w:lang w:eastAsia="pl-PL"/>
              </w:rPr>
              <w:lastRenderedPageBreak/>
              <w:t xml:space="preserve">Absolwent studiów kierunku Zarządzanie posiada umiejętności rozpoznawania, diagnozowania i rozwiązywania typowych problemów związanych z gospodarowaniem zasobami (ludzkimi, rzeczowymi, finansowymi i informacyjnymi), zarządzania </w:t>
            </w:r>
            <w:r w:rsidRPr="001C65BA">
              <w:rPr>
                <w:rFonts w:eastAsia="Times New Roman" w:cs="Times New Roman"/>
                <w:sz w:val="22"/>
                <w:szCs w:val="22"/>
                <w:lang w:eastAsia="pl-PL"/>
              </w:rPr>
              <w:lastRenderedPageBreak/>
              <w:t>procesami, a także umiejętności pracy w zespole. Jest dobrze zorientowany w wy</w:t>
            </w:r>
            <w:r>
              <w:rPr>
                <w:rFonts w:eastAsia="Times New Roman" w:cs="Times New Roman"/>
                <w:sz w:val="22"/>
                <w:szCs w:val="22"/>
                <w:lang w:eastAsia="pl-PL"/>
              </w:rPr>
              <w:t>branym przez siebie zakresie kształcenia</w:t>
            </w:r>
            <w:r w:rsidRPr="001C65BA">
              <w:rPr>
                <w:rFonts w:eastAsia="Times New Roman" w:cs="Times New Roman"/>
                <w:sz w:val="22"/>
                <w:szCs w:val="22"/>
                <w:lang w:eastAsia="pl-PL"/>
              </w:rPr>
              <w:t>. Zna także język angielski na poziomie biegłości B2 Europejskiego Systemu Opisu Kształcenia Językowego Rady Europy, posługując się również słownictwem specjalistycznym oraz posiada kwalifikacje Europejskiego Certyfikatu Umiejętności Komputerowych (ECDL). Ukończone studia dają absolwentowi dobre podstawy teoretyczne i metodyczne do kontynuowania studiów na drugim stopniu oraz umiejętności samodzielnego uczenia się i aktualizowania wiedzy.</w:t>
            </w:r>
          </w:p>
          <w:p w:rsidR="00810EA8" w:rsidRPr="00784CC5" w:rsidRDefault="001E1FCA" w:rsidP="00A11131">
            <w:pPr>
              <w:spacing w:line="270" w:lineRule="atLeast"/>
              <w:rPr>
                <w:rFonts w:eastAsia="Times New Roman" w:cs="Times New Roman"/>
                <w:lang w:eastAsia="pl-PL"/>
              </w:rPr>
            </w:pPr>
            <w:r w:rsidRPr="001C65BA">
              <w:rPr>
                <w:rFonts w:eastAsia="Times New Roman" w:cs="Times New Roman"/>
                <w:sz w:val="22"/>
                <w:szCs w:val="22"/>
                <w:lang w:eastAsia="pl-PL"/>
              </w:rPr>
              <w:t>Ukończenie studiów na kierunku Zarządzanie stwarza perspektywy zatrudnienia we wszystkich działach gospodarki. Rozwijają one bowiem kompetencje umożliwiające podjęcie pracy zawodowej w charakterze specjalisty oraz menedżera/kierownika niższego i średniego szczebla zarządzania w różnorodnych organizacjach, w tym w przedsiębiorstwach, jednostkach sektora publicznego, w tym administracji publicznej, organizacjach non profit, a także prowadzenie własnej działalności gospodarczej.</w:t>
            </w:r>
          </w:p>
          <w:p w:rsidR="00810EA8" w:rsidRPr="00810EA8" w:rsidRDefault="00810EA8" w:rsidP="00A11131">
            <w:pPr>
              <w:rPr>
                <w:rFonts w:eastAsia="Times New Roman" w:cs="Times New Roman"/>
                <w:u w:val="single"/>
                <w:lang w:eastAsia="pl-PL"/>
              </w:rPr>
            </w:pPr>
            <w:r w:rsidRPr="00640DB9">
              <w:rPr>
                <w:rFonts w:eastAsia="Times New Roman" w:cs="Times New Roman"/>
                <w:sz w:val="22"/>
                <w:szCs w:val="22"/>
                <w:u w:val="single"/>
                <w:lang w:eastAsia="pl-PL"/>
              </w:rPr>
              <w:t>Do wyboru są następujące zakresy kształcenia:</w:t>
            </w:r>
          </w:p>
          <w:p w:rsidR="001E1FCA" w:rsidRPr="001C65BA" w:rsidRDefault="001E1FCA" w:rsidP="00A11131">
            <w:pPr>
              <w:spacing w:line="270" w:lineRule="atLeast"/>
              <w:rPr>
                <w:rFonts w:eastAsia="Times New Roman" w:cs="Times New Roman"/>
                <w:lang w:eastAsia="pl-PL"/>
              </w:rPr>
            </w:pPr>
            <w:r w:rsidRPr="001C65BA">
              <w:rPr>
                <w:rFonts w:eastAsia="Times New Roman" w:cs="Times New Roman"/>
                <w:b/>
                <w:bCs/>
                <w:sz w:val="22"/>
                <w:szCs w:val="22"/>
                <w:lang w:eastAsia="pl-PL"/>
              </w:rPr>
              <w:t>Zarządzanie instytucjami publicznymi</w:t>
            </w:r>
            <w:r w:rsidRPr="001C65BA">
              <w:rPr>
                <w:rFonts w:eastAsia="Times New Roman" w:cs="Times New Roman"/>
                <w:sz w:val="22"/>
                <w:szCs w:val="22"/>
                <w:lang w:eastAsia="pl-PL"/>
              </w:rPr>
              <w:t xml:space="preserve"> - umożliwia uzyskanie wiedzy oraz praktycznych umiejętności, pożądanych, z punktu widzenia zarządzania w szeroko rozumianym sektorze publicznym, w tym w administracji, ale również w obsłudze administracyjnej sektora przedsiębiorstw. Studia pozwalają na zdobycie kompetencji niezbędnych w pracy różnorodnych instytucji sektora finansów publicznych, organów administracji publicznej – rządowej i samorządowej, ale również na</w:t>
            </w:r>
            <w:r w:rsidR="00784CC5">
              <w:rPr>
                <w:rFonts w:eastAsia="Times New Roman" w:cs="Times New Roman"/>
                <w:sz w:val="22"/>
                <w:szCs w:val="22"/>
                <w:lang w:eastAsia="pl-PL"/>
              </w:rPr>
              <w:t xml:space="preserve"> stanowiskach administracyjnych </w:t>
            </w:r>
            <w:r w:rsidRPr="001C65BA">
              <w:rPr>
                <w:rFonts w:eastAsia="Times New Roman" w:cs="Times New Roman"/>
                <w:sz w:val="22"/>
                <w:szCs w:val="22"/>
                <w:lang w:eastAsia="pl-PL"/>
              </w:rPr>
              <w:t xml:space="preserve">w przedsiębiorstwach. Program studiów umożliwia wszechstronne poznanie ekonomicznych, organizacyjnych i finansowych aspektów funkcjonowania sfery publicznej, zarówno w wymiarze makro, jak i mikroekonomicznym, jak i uzyskanie umiejętności pozwalających na sprawne poruszanie się w obsłudze biurowej i zarządzaniu komórkami organizacyjnymi odpowiadającymi za obsługę administracyjną różnorodnych podmiotów. Absolwent jest przygotowany do pracy na stanowiskach kierowniczych pierwszego poziomu w instytucjach publicznych, urzędach organów administracji rządowej i samorządu terytorialnego, a także w organach administracyjnych podmiotów gospodarczych. Posiada przy tym umiejętności wykorzystania wiedzy w pracy zawodowej z zachowaniem zasad etycznych. Jest także przygotowany do samodzielnego doskonalenia oraz uzupełniania nabytej wiedzy i umiejętności w warunkach postępu procesów integracyjnych w Europie, czy zmian w prawodawstwie krajowym. </w:t>
            </w:r>
          </w:p>
          <w:p w:rsidR="001E1FCA" w:rsidRPr="001C65BA" w:rsidRDefault="001E1FCA" w:rsidP="00A11131">
            <w:pPr>
              <w:spacing w:line="270" w:lineRule="atLeast"/>
              <w:rPr>
                <w:rFonts w:eastAsia="Times New Roman" w:cs="Times New Roman"/>
                <w:lang w:eastAsia="pl-PL"/>
              </w:rPr>
            </w:pPr>
            <w:r w:rsidRPr="001C65BA">
              <w:rPr>
                <w:rFonts w:eastAsia="Times New Roman" w:cs="Times New Roman"/>
                <w:b/>
                <w:bCs/>
                <w:sz w:val="22"/>
                <w:szCs w:val="22"/>
                <w:lang w:eastAsia="pl-PL"/>
              </w:rPr>
              <w:t xml:space="preserve">Zarządzanie finansami </w:t>
            </w:r>
            <w:r w:rsidRPr="001C65BA">
              <w:rPr>
                <w:rFonts w:eastAsia="Times New Roman" w:cs="Times New Roman"/>
                <w:sz w:val="22"/>
                <w:szCs w:val="22"/>
                <w:lang w:eastAsia="pl-PL"/>
              </w:rPr>
              <w:t xml:space="preserve">- umożliwia zdobycie kompetencji z zakresu szeroko rozumianych zagadnień finansowych, w tym umiejętności interdyscyplinarnych, jakie wymagane są od działów odpowiedzialnych za sprawy finansowe we wszelkiego typu organizacjach. Absolwenci są przygotowani do zarządzania procesami finansowymi, pracy w działach księgowo-finansowych, czy controllingu. Posiadają wiedzę i umiejętności dające szerokie </w:t>
            </w:r>
            <w:r w:rsidRPr="001C65BA">
              <w:rPr>
                <w:rFonts w:eastAsia="Times New Roman" w:cs="Times New Roman"/>
                <w:sz w:val="22"/>
                <w:szCs w:val="22"/>
                <w:lang w:eastAsia="pl-PL"/>
              </w:rPr>
              <w:lastRenderedPageBreak/>
              <w:t xml:space="preserve">możliwości znalezienia zatrudnienia w przedsiębiorstwach, instytucjach publicznych, bankach, firmach konsultingowych, funduszach inwestycyjnych i emerytalnych, </w:t>
            </w:r>
            <w:r w:rsidR="0061490C" w:rsidRPr="001C65BA">
              <w:rPr>
                <w:rFonts w:eastAsia="Times New Roman" w:cs="Times New Roman"/>
                <w:sz w:val="22"/>
                <w:szCs w:val="22"/>
                <w:lang w:eastAsia="pl-PL"/>
              </w:rPr>
              <w:t>domach maklerskich,</w:t>
            </w:r>
            <w:r w:rsidR="0061490C">
              <w:rPr>
                <w:rFonts w:eastAsia="Times New Roman" w:cs="Times New Roman"/>
                <w:sz w:val="22"/>
                <w:szCs w:val="22"/>
                <w:lang w:eastAsia="pl-PL"/>
              </w:rPr>
              <w:t xml:space="preserve"> </w:t>
            </w:r>
            <w:r w:rsidRPr="001C65BA">
              <w:rPr>
                <w:rFonts w:eastAsia="Times New Roman" w:cs="Times New Roman"/>
                <w:sz w:val="22"/>
                <w:szCs w:val="22"/>
                <w:lang w:eastAsia="pl-PL"/>
              </w:rPr>
              <w:t>towarzystwach ubezpieczeniowych, czy biurach doradztwa podatkowego i pośrednictwa nieruchomościami. Stwarza to perspektywy zatrudnienia we wszystkich działach gospodarki. Dzięki poszczególnym modułom, absolwenci posiadają wiedzę i umiejętności m.in. w zakresie posługiwania się arkuszami kalkulacyjnymi, prowadzenia ksiąg rachunkowych, projektowania systemów pomiaru wyników działalności przedsiębiorstwa, kosztorysowania, przygotowania sprawozdań finansowych, analizy finansowej dla planowanych przedsięwzięć, czy też konstruowania programów motywacyjnego wynagradzania. Re</w:t>
            </w:r>
            <w:r w:rsidR="001A1AAC">
              <w:rPr>
                <w:rFonts w:eastAsia="Times New Roman" w:cs="Times New Roman"/>
                <w:sz w:val="22"/>
                <w:szCs w:val="22"/>
                <w:lang w:eastAsia="pl-PL"/>
              </w:rPr>
              <w:t xml:space="preserve">alizowane </w:t>
            </w:r>
            <w:r w:rsidRPr="001C65BA">
              <w:rPr>
                <w:rFonts w:eastAsia="Times New Roman" w:cs="Times New Roman"/>
                <w:sz w:val="22"/>
                <w:szCs w:val="22"/>
                <w:lang w:eastAsia="pl-PL"/>
              </w:rPr>
              <w:t>przedmioty pozwalają również w perspektywie czasu na przygotowanie się do zdobycia certyfikatu księgowego, kwalifikacji biegłego rewidenta, agenta ubezpieczeniowego, doradcy podatkowego, czy maklera giełdowego.</w:t>
            </w:r>
          </w:p>
          <w:p w:rsidR="00A4596F" w:rsidRPr="00784CC5" w:rsidRDefault="001E1FCA" w:rsidP="00A11131">
            <w:pPr>
              <w:spacing w:line="270" w:lineRule="atLeast"/>
              <w:rPr>
                <w:rFonts w:eastAsia="Times New Roman" w:cs="Times New Roman"/>
                <w:lang w:eastAsia="pl-PL"/>
              </w:rPr>
            </w:pPr>
            <w:r w:rsidRPr="001C65BA">
              <w:rPr>
                <w:rFonts w:eastAsia="Times New Roman"/>
                <w:b/>
                <w:bCs/>
                <w:sz w:val="22"/>
                <w:szCs w:val="22"/>
              </w:rPr>
              <w:t>Zarządzanie w przedsiębiorstwie</w:t>
            </w:r>
            <w:r w:rsidRPr="001C65BA">
              <w:rPr>
                <w:rFonts w:eastAsia="Times New Roman"/>
                <w:sz w:val="22"/>
                <w:szCs w:val="22"/>
              </w:rPr>
              <w:t xml:space="preserve"> - obejmuje zagadnienia z zakresu funkcjonowania przedsiębiorstwa w wielu różnych obszarach, z nastawieniem na procesy i funkcje zarządcze w sferze funkcjonowania przedsiębiorstw produkcyjnych, handlowych i usługowych. Szerokie ujęcie problematyki związanej z zarządzaniem przedsiębiorstwem na niepewnym, rozdrobnionym i wysoko konkurencyjnym rynku, pozwala na właściwą identyfikację możliwości i ograniczeń rynkowych oraz elastyczne reagowanie na zmiany w koniunkturze gospodarczej w wymiarze globalnym i krajowym. Program kształcenia na tej specjalności pozwala na nabycie szczególnie wysokich umiejętności w zakresie rozpoznawania, diagnozowania i rozwiązywania typowych problemów związanych z gospodarowaniem zasobami (ludzkimi, rzeczowymi, finansowymi i informacyjnymi), zarządzania procesami, a także umiejętności pracy w zespole. Absolwent posiada kompetencje do aktywnego uczestniczenia w procesie zarządzania przedsiębiorstwem, posiada wiedzę i umiejętności umożliwiające zarządzanie podmiotami gospodarczymi na stanowiskach kierowniczych najniższego i średniego szczebla, jak również prowadzenie własnej działalności gospodarczej. </w:t>
            </w:r>
            <w:r w:rsidR="0061490C">
              <w:rPr>
                <w:rFonts w:eastAsia="Times New Roman"/>
                <w:sz w:val="22"/>
                <w:szCs w:val="22"/>
              </w:rPr>
              <w:t>Kierunek ten polecany</w:t>
            </w:r>
            <w:r w:rsidRPr="001C65BA">
              <w:rPr>
                <w:rFonts w:eastAsia="Times New Roman"/>
                <w:sz w:val="22"/>
                <w:szCs w:val="22"/>
              </w:rPr>
              <w:t xml:space="preserve"> jest również studentom i absolwentom innych kierunków studiów, zainteresowanych nabyciem kwalifikacji menedżerskich.</w:t>
            </w:r>
          </w:p>
        </w:tc>
      </w:tr>
      <w:tr w:rsidR="00A4596F" w:rsidRPr="00B33361" w:rsidTr="00784CC5">
        <w:tc>
          <w:tcPr>
            <w:tcW w:w="171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A4596F" w:rsidRPr="00784CC5" w:rsidRDefault="00A4596F" w:rsidP="007E663B">
            <w:pPr>
              <w:rPr>
                <w:sz w:val="21"/>
                <w:szCs w:val="21"/>
              </w:rPr>
            </w:pPr>
            <w:r w:rsidRPr="00784CC5">
              <w:rPr>
                <w:sz w:val="21"/>
                <w:szCs w:val="21"/>
              </w:rPr>
              <w:lastRenderedPageBreak/>
              <w:t>Informacja na temat uwzględnienia w programie studiów wniosków z analizy wyników monitoringu karier zawodowych studentów i absolwentów:</w:t>
            </w:r>
          </w:p>
        </w:tc>
        <w:tc>
          <w:tcPr>
            <w:tcW w:w="3281" w:type="pct"/>
            <w:tcBorders>
              <w:top w:val="single" w:sz="4" w:space="0" w:color="000000"/>
              <w:left w:val="single" w:sz="4" w:space="0" w:color="000000"/>
              <w:bottom w:val="single" w:sz="4" w:space="0" w:color="000000"/>
              <w:right w:val="single" w:sz="4" w:space="0" w:color="000000"/>
            </w:tcBorders>
            <w:vAlign w:val="center"/>
          </w:tcPr>
          <w:p w:rsidR="00A4596F" w:rsidRPr="00810EA8" w:rsidRDefault="00810EA8" w:rsidP="001A1AAC">
            <w:pPr>
              <w:pStyle w:val="Default"/>
              <w:jc w:val="both"/>
              <w:rPr>
                <w:color w:val="auto"/>
                <w:sz w:val="22"/>
                <w:szCs w:val="22"/>
              </w:rPr>
            </w:pPr>
            <w:r w:rsidRPr="00810EA8">
              <w:rPr>
                <w:sz w:val="22"/>
                <w:szCs w:val="22"/>
              </w:rPr>
              <w:t xml:space="preserve">Wyniki monitoringu karier zawodowych absolwentów kierunku Zarządzanie są uwzględniane w programie </w:t>
            </w:r>
            <w:r w:rsidR="001A1AAC" w:rsidRPr="0064738C">
              <w:rPr>
                <w:sz w:val="22"/>
                <w:szCs w:val="22"/>
              </w:rPr>
              <w:t>studiów</w:t>
            </w:r>
            <w:r w:rsidRPr="00810EA8">
              <w:rPr>
                <w:sz w:val="22"/>
                <w:szCs w:val="22"/>
              </w:rPr>
              <w:t xml:space="preserve"> poprzez coroczną modyfikację treści programowych i efektów przedmiotowych zapisanych w kartach przedmiotów w kierunku większego stopnia upraktyczniania procesu kształcenia.  W związku z powyższym modyfikacje dotyczą zwiększania poziomu uzyskiwanych efektów </w:t>
            </w:r>
            <w:r>
              <w:rPr>
                <w:sz w:val="22"/>
                <w:szCs w:val="22"/>
              </w:rPr>
              <w:t>uczenia się</w:t>
            </w:r>
            <w:r w:rsidRPr="00810EA8">
              <w:rPr>
                <w:sz w:val="22"/>
                <w:szCs w:val="22"/>
              </w:rPr>
              <w:t xml:space="preserve"> w zakresie umiejętności i kompetencji społecznych.</w:t>
            </w:r>
          </w:p>
        </w:tc>
      </w:tr>
      <w:tr w:rsidR="00A4596F" w:rsidRPr="00B33361" w:rsidTr="00784CC5">
        <w:tc>
          <w:tcPr>
            <w:tcW w:w="171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A4596F" w:rsidRPr="00784CC5" w:rsidRDefault="00A4596F" w:rsidP="007E663B">
            <w:pPr>
              <w:rPr>
                <w:sz w:val="21"/>
                <w:szCs w:val="21"/>
              </w:rPr>
            </w:pPr>
            <w:r w:rsidRPr="00784CC5">
              <w:rPr>
                <w:sz w:val="21"/>
                <w:szCs w:val="21"/>
              </w:rPr>
              <w:t xml:space="preserve">Informacja na temat uwzględnienia w programie studiów wymagań i zaleceń komisji akredytacyjnych, </w:t>
            </w:r>
          </w:p>
          <w:p w:rsidR="00A4596F" w:rsidRPr="00784CC5" w:rsidRDefault="00A4596F" w:rsidP="007E663B">
            <w:pPr>
              <w:rPr>
                <w:sz w:val="21"/>
                <w:szCs w:val="21"/>
              </w:rPr>
            </w:pPr>
            <w:r w:rsidRPr="00784CC5">
              <w:rPr>
                <w:sz w:val="21"/>
                <w:szCs w:val="21"/>
              </w:rPr>
              <w:t>w szczególności Polskiej Komisji Akredytacyjnej:</w:t>
            </w:r>
          </w:p>
        </w:tc>
        <w:tc>
          <w:tcPr>
            <w:tcW w:w="3281" w:type="pct"/>
            <w:tcBorders>
              <w:top w:val="single" w:sz="4" w:space="0" w:color="000000"/>
              <w:left w:val="single" w:sz="4" w:space="0" w:color="000000"/>
              <w:bottom w:val="single" w:sz="4" w:space="0" w:color="000000"/>
              <w:right w:val="single" w:sz="4" w:space="0" w:color="000000"/>
            </w:tcBorders>
            <w:vAlign w:val="center"/>
          </w:tcPr>
          <w:p w:rsidR="00784CC5" w:rsidRPr="009B1021" w:rsidRDefault="00784CC5" w:rsidP="00784CC5">
            <w:pPr>
              <w:pStyle w:val="Default"/>
              <w:jc w:val="both"/>
              <w:rPr>
                <w:color w:val="auto"/>
                <w:sz w:val="22"/>
                <w:szCs w:val="22"/>
                <w:highlight w:val="yellow"/>
              </w:rPr>
            </w:pPr>
            <w:r>
              <w:rPr>
                <w:color w:val="auto"/>
                <w:sz w:val="22"/>
                <w:szCs w:val="22"/>
              </w:rPr>
              <w:t>W toku</w:t>
            </w:r>
            <w:r w:rsidRPr="00143510">
              <w:rPr>
                <w:color w:val="auto"/>
                <w:sz w:val="22"/>
                <w:szCs w:val="22"/>
              </w:rPr>
              <w:t xml:space="preserve"> </w:t>
            </w:r>
            <w:r>
              <w:rPr>
                <w:color w:val="auto"/>
                <w:sz w:val="22"/>
                <w:szCs w:val="22"/>
              </w:rPr>
              <w:t>doskonalenia</w:t>
            </w:r>
            <w:r w:rsidRPr="00143510">
              <w:rPr>
                <w:color w:val="auto"/>
                <w:sz w:val="22"/>
                <w:szCs w:val="22"/>
              </w:rPr>
              <w:t xml:space="preserve"> programu studiów wykorzyst</w:t>
            </w:r>
            <w:r>
              <w:rPr>
                <w:color w:val="auto"/>
                <w:sz w:val="22"/>
                <w:szCs w:val="22"/>
              </w:rPr>
              <w:t>uje się</w:t>
            </w:r>
            <w:r w:rsidRPr="00143510">
              <w:rPr>
                <w:color w:val="auto"/>
                <w:sz w:val="22"/>
                <w:szCs w:val="22"/>
              </w:rPr>
              <w:t xml:space="preserve"> </w:t>
            </w:r>
            <w:r>
              <w:rPr>
                <w:color w:val="auto"/>
                <w:sz w:val="22"/>
                <w:szCs w:val="22"/>
              </w:rPr>
              <w:t xml:space="preserve">m.in. </w:t>
            </w:r>
            <w:r w:rsidRPr="00143510">
              <w:rPr>
                <w:color w:val="auto"/>
                <w:sz w:val="22"/>
                <w:szCs w:val="22"/>
              </w:rPr>
              <w:t>wnioski z analizy</w:t>
            </w:r>
            <w:r w:rsidR="00783E25">
              <w:rPr>
                <w:color w:val="auto"/>
                <w:sz w:val="22"/>
                <w:szCs w:val="22"/>
              </w:rPr>
              <w:t>,</w:t>
            </w:r>
            <w:r w:rsidRPr="00143510">
              <w:rPr>
                <w:color w:val="auto"/>
                <w:sz w:val="22"/>
                <w:szCs w:val="22"/>
              </w:rPr>
              <w:t xml:space="preserve"> </w:t>
            </w:r>
            <w:r>
              <w:rPr>
                <w:color w:val="auto"/>
                <w:sz w:val="22"/>
                <w:szCs w:val="22"/>
              </w:rPr>
              <w:t xml:space="preserve">zarówno </w:t>
            </w:r>
            <w:r w:rsidRPr="00143510">
              <w:rPr>
                <w:color w:val="auto"/>
                <w:sz w:val="22"/>
                <w:szCs w:val="22"/>
              </w:rPr>
              <w:t>Raport</w:t>
            </w:r>
            <w:r>
              <w:rPr>
                <w:color w:val="auto"/>
                <w:sz w:val="22"/>
                <w:szCs w:val="22"/>
              </w:rPr>
              <w:t>u</w:t>
            </w:r>
            <w:r w:rsidRPr="00143510">
              <w:rPr>
                <w:color w:val="auto"/>
                <w:sz w:val="22"/>
                <w:szCs w:val="22"/>
              </w:rPr>
              <w:t xml:space="preserve"> z wizytacji Polskiej Komisji Akredytacyjnej</w:t>
            </w:r>
            <w:r>
              <w:rPr>
                <w:color w:val="auto"/>
                <w:sz w:val="22"/>
                <w:szCs w:val="22"/>
              </w:rPr>
              <w:t xml:space="preserve"> z 2016 roku, jak również innych Raportów na podobnych kierunkach,</w:t>
            </w:r>
            <w:r w:rsidRPr="00143510">
              <w:rPr>
                <w:color w:val="auto"/>
                <w:sz w:val="22"/>
                <w:szCs w:val="22"/>
              </w:rPr>
              <w:t xml:space="preserve"> zamieszczone na stronie internetowej PKA.</w:t>
            </w:r>
          </w:p>
        </w:tc>
      </w:tr>
      <w:tr w:rsidR="00A4596F" w:rsidRPr="00B33361" w:rsidTr="00784CC5">
        <w:tc>
          <w:tcPr>
            <w:tcW w:w="171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A4596F" w:rsidRPr="00784CC5" w:rsidRDefault="00A4596F" w:rsidP="00750268">
            <w:pPr>
              <w:rPr>
                <w:sz w:val="21"/>
                <w:szCs w:val="21"/>
              </w:rPr>
            </w:pPr>
            <w:r w:rsidRPr="00784CC5">
              <w:rPr>
                <w:sz w:val="21"/>
                <w:szCs w:val="21"/>
              </w:rPr>
              <w:t xml:space="preserve">Informacja na temat uwzględnienia </w:t>
            </w:r>
            <w:r w:rsidRPr="00784CC5">
              <w:rPr>
                <w:sz w:val="21"/>
                <w:szCs w:val="21"/>
              </w:rPr>
              <w:lastRenderedPageBreak/>
              <w:t>w programie studiów przykładów dobrych praktyk:</w:t>
            </w:r>
          </w:p>
        </w:tc>
        <w:tc>
          <w:tcPr>
            <w:tcW w:w="3281" w:type="pct"/>
            <w:tcBorders>
              <w:top w:val="single" w:sz="4" w:space="0" w:color="000000"/>
              <w:left w:val="single" w:sz="4" w:space="0" w:color="000000"/>
              <w:bottom w:val="single" w:sz="4" w:space="0" w:color="000000"/>
              <w:right w:val="single" w:sz="4" w:space="0" w:color="000000"/>
            </w:tcBorders>
            <w:vAlign w:val="center"/>
          </w:tcPr>
          <w:p w:rsidR="00A4596F" w:rsidRPr="00810EA8" w:rsidRDefault="0048045D" w:rsidP="00A11131">
            <w:pPr>
              <w:rPr>
                <w:rFonts w:cs="Times New Roman"/>
              </w:rPr>
            </w:pPr>
            <w:r w:rsidRPr="0048045D">
              <w:rPr>
                <w:rFonts w:cs="Times New Roman"/>
                <w:sz w:val="22"/>
                <w:szCs w:val="22"/>
              </w:rPr>
              <w:lastRenderedPageBreak/>
              <w:t xml:space="preserve">Dostosowanie programu kształcenia do oczekiwań potencjalnych </w:t>
            </w:r>
            <w:r>
              <w:rPr>
                <w:rFonts w:cs="Times New Roman"/>
                <w:sz w:val="22"/>
                <w:szCs w:val="22"/>
              </w:rPr>
              <w:lastRenderedPageBreak/>
              <w:t>pracodawców</w:t>
            </w:r>
            <w:r w:rsidRPr="0048045D">
              <w:rPr>
                <w:rFonts w:cs="Times New Roman"/>
                <w:sz w:val="22"/>
                <w:szCs w:val="22"/>
              </w:rPr>
              <w:t>, a przez to zapewnienie, że absolwent będzie atrakcyjnym kandydatem na rynku pracy.</w:t>
            </w:r>
          </w:p>
        </w:tc>
      </w:tr>
      <w:tr w:rsidR="00A4596F" w:rsidRPr="00B33361" w:rsidTr="00784CC5">
        <w:tc>
          <w:tcPr>
            <w:tcW w:w="171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A4596F" w:rsidRPr="00784CC5" w:rsidRDefault="00A4596F" w:rsidP="00750268">
            <w:pPr>
              <w:rPr>
                <w:sz w:val="21"/>
                <w:szCs w:val="21"/>
              </w:rPr>
            </w:pPr>
            <w:r w:rsidRPr="00784CC5">
              <w:rPr>
                <w:sz w:val="21"/>
                <w:szCs w:val="21"/>
              </w:rPr>
              <w:lastRenderedPageBreak/>
              <w:t>Informacja na temat współdziałania w zakresie przygotowania programu studiów z interesariuszami zewnętrznymi:</w:t>
            </w:r>
          </w:p>
        </w:tc>
        <w:tc>
          <w:tcPr>
            <w:tcW w:w="3281" w:type="pct"/>
            <w:tcBorders>
              <w:top w:val="single" w:sz="4" w:space="0" w:color="000000"/>
              <w:left w:val="single" w:sz="4" w:space="0" w:color="000000"/>
              <w:bottom w:val="single" w:sz="4" w:space="0" w:color="000000"/>
              <w:right w:val="single" w:sz="4" w:space="0" w:color="000000"/>
            </w:tcBorders>
            <w:vAlign w:val="center"/>
          </w:tcPr>
          <w:p w:rsidR="00810EA8" w:rsidRDefault="00810EA8" w:rsidP="00A11131">
            <w:pPr>
              <w:pStyle w:val="Akapitzlist"/>
              <w:spacing w:after="0" w:line="240" w:lineRule="auto"/>
              <w:ind w:left="0"/>
              <w:rPr>
                <w:rFonts w:ascii="Times New Roman" w:hAnsi="Times New Roman"/>
              </w:rPr>
            </w:pPr>
            <w:r w:rsidRPr="002E7220">
              <w:rPr>
                <w:rFonts w:ascii="Times New Roman" w:hAnsi="Times New Roman"/>
              </w:rPr>
              <w:t>W ramach współpracy z otoczeniem rynku pracy, stworzono m.in. Radę Konsultacyjną zakładu Zarządzania, składającą się z przedstawicieli 9 dużych pracodawców z regionu, jako organ doradczy, wspomagający upraktycznianie procesu kształcenia i dostosowywanie procesu do wymagań ewoluującego rynku pracy.</w:t>
            </w:r>
            <w:r>
              <w:rPr>
                <w:rFonts w:ascii="Times New Roman" w:hAnsi="Times New Roman"/>
              </w:rPr>
              <w:t xml:space="preserve"> </w:t>
            </w:r>
          </w:p>
          <w:p w:rsidR="00A4596F" w:rsidRPr="00D72D5E" w:rsidRDefault="00810EA8" w:rsidP="00A11131">
            <w:pPr>
              <w:pStyle w:val="Akapitzlist"/>
              <w:spacing w:after="0" w:line="240" w:lineRule="auto"/>
              <w:ind w:left="0"/>
              <w:rPr>
                <w:rFonts w:ascii="Times New Roman" w:hAnsi="Times New Roman"/>
              </w:rPr>
            </w:pPr>
            <w:r w:rsidRPr="001403AC">
              <w:rPr>
                <w:rFonts w:ascii="Times New Roman" w:hAnsi="Times New Roman"/>
              </w:rPr>
              <w:t>Współpraca z otoczeniem owocuje także wysokim odsetkiem praktyków prowadzących zajęcia na kierunku Zarządzanie, a także zawarciem porozumień z kilkoma dużymi pracodawcami odnośnie zatrudniania absolwentów z najwyższymi średnimi ocenami.</w:t>
            </w:r>
          </w:p>
        </w:tc>
      </w:tr>
      <w:tr w:rsidR="00A4596F" w:rsidRPr="00B33361" w:rsidTr="00784CC5">
        <w:tc>
          <w:tcPr>
            <w:tcW w:w="171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A4596F" w:rsidRPr="00784CC5" w:rsidRDefault="00A4596F" w:rsidP="00750268">
            <w:pPr>
              <w:rPr>
                <w:sz w:val="21"/>
                <w:szCs w:val="21"/>
              </w:rPr>
            </w:pPr>
            <w:r w:rsidRPr="00784CC5">
              <w:rPr>
                <w:sz w:val="21"/>
                <w:szCs w:val="21"/>
              </w:rPr>
              <w:t>Opis kompetencji oczekiwanych od kandydata ubiegającego się o przyjęcie na studia:</w:t>
            </w:r>
          </w:p>
        </w:tc>
        <w:tc>
          <w:tcPr>
            <w:tcW w:w="3281" w:type="pct"/>
            <w:tcBorders>
              <w:top w:val="single" w:sz="4" w:space="0" w:color="000000"/>
              <w:left w:val="single" w:sz="4" w:space="0" w:color="000000"/>
              <w:bottom w:val="single" w:sz="4" w:space="0" w:color="000000"/>
              <w:right w:val="single" w:sz="4" w:space="0" w:color="000000"/>
            </w:tcBorders>
            <w:vAlign w:val="center"/>
          </w:tcPr>
          <w:p w:rsidR="001E1FCA" w:rsidRPr="001C65BA" w:rsidRDefault="001E1FCA" w:rsidP="00A11131">
            <w:pPr>
              <w:rPr>
                <w:rFonts w:eastAsia="Arial" w:cs="Times New Roman"/>
                <w:b/>
                <w:bCs/>
              </w:rPr>
            </w:pPr>
            <w:r w:rsidRPr="001C65BA">
              <w:rPr>
                <w:rFonts w:eastAsia="Times New Roman" w:cs="Times New Roman"/>
                <w:sz w:val="22"/>
                <w:szCs w:val="22"/>
                <w:lang w:eastAsia="pl-PL"/>
              </w:rPr>
              <w:t>W postępowaniu rekrutacyjnym uwzględnia się najkorzystniejszą ocenę z przedmiotów na egzaminie dojrzałości, a w przypadku braku oceny z egzaminu z danego przedmiotu, pod uwagę jest brana ocena ze świadectwa ukończenia szkoły średniej (bez uwzględniania ocen z zajęć fakultatywnych). Jeśli przedmiot punktowany wybiera się spośród kilku proponowanych przedmiotów - to w pierwszej kolejności liczy się przedmiot, który kandydat zdawał na egzaminie dojrzałości. Kandydaci z nową i starą maturą przyjmowani są na studia proporcjonalnie w stosunku do ogólnej liczby zgłoszonych kandydatów. Z pominięciem postępowania rekrutacyjnego o przyjęcie na studia ubiegać się mogą laureaci i finaliści stopnia centralnego i okręgowego olimpiady wiedzy</w:t>
            </w:r>
            <w:bookmarkStart w:id="0" w:name="_GoBack"/>
            <w:bookmarkEnd w:id="0"/>
            <w:r w:rsidRPr="001C65BA">
              <w:rPr>
                <w:rFonts w:eastAsia="Times New Roman" w:cs="Times New Roman"/>
                <w:sz w:val="22"/>
                <w:szCs w:val="22"/>
                <w:lang w:eastAsia="pl-PL"/>
              </w:rPr>
              <w:t xml:space="preserve"> ekonomicznej, wiedzy o Polsce i świecie współczesnym, matematycznej, informatycznej, geograficznej i nautologicznej. </w:t>
            </w:r>
          </w:p>
          <w:p w:rsidR="001E1FCA" w:rsidRPr="001E1FCA" w:rsidRDefault="001E1FCA" w:rsidP="00A11131">
            <w:pPr>
              <w:contextualSpacing/>
              <w:rPr>
                <w:rFonts w:eastAsia="Times New Roman" w:cs="Times New Roman"/>
                <w:lang w:eastAsia="pl-PL"/>
              </w:rPr>
            </w:pPr>
            <w:r w:rsidRPr="001E1FCA">
              <w:rPr>
                <w:rFonts w:eastAsia="Times New Roman" w:cs="Times New Roman"/>
                <w:sz w:val="22"/>
                <w:szCs w:val="22"/>
              </w:rPr>
              <w:t xml:space="preserve">Wymagania wstępne (oczekiwane kompetencje kandydata): </w:t>
            </w:r>
            <w:r w:rsidRPr="001E1FCA">
              <w:rPr>
                <w:rFonts w:eastAsia="Times New Roman" w:cs="Times New Roman"/>
                <w:sz w:val="22"/>
                <w:szCs w:val="22"/>
                <w:lang w:eastAsia="pl-PL"/>
              </w:rPr>
              <w:t xml:space="preserve">świadectwo dojrzałości. Podstawą przyjęcia na studia jest: </w:t>
            </w:r>
          </w:p>
          <w:p w:rsidR="001E1FCA" w:rsidRPr="001E1FCA" w:rsidRDefault="001E1FCA" w:rsidP="00A11131">
            <w:pPr>
              <w:ind w:left="300" w:hanging="142"/>
              <w:contextualSpacing/>
              <w:rPr>
                <w:rFonts w:eastAsia="Times New Roman" w:cs="Times New Roman"/>
                <w:lang w:eastAsia="pl-PL"/>
              </w:rPr>
            </w:pPr>
            <w:r w:rsidRPr="001E1FCA">
              <w:rPr>
                <w:rFonts w:eastAsia="Times New Roman" w:cs="Times New Roman"/>
                <w:sz w:val="22"/>
                <w:szCs w:val="22"/>
                <w:lang w:eastAsia="pl-PL"/>
              </w:rPr>
              <w:t xml:space="preserve">a/ ocena formalna: złożone w określonym terminie rekrutacyjnym świadectwo dojrzałości wraz z kompletem wymaganych dokumentów, </w:t>
            </w:r>
          </w:p>
          <w:p w:rsidR="001E1FCA" w:rsidRPr="001E1FCA" w:rsidRDefault="001E1FCA" w:rsidP="00A11131">
            <w:pPr>
              <w:ind w:left="300" w:hanging="142"/>
              <w:contextualSpacing/>
              <w:rPr>
                <w:rFonts w:eastAsia="Times New Roman" w:cs="Times New Roman"/>
                <w:lang w:eastAsia="pl-PL"/>
              </w:rPr>
            </w:pPr>
            <w:r w:rsidRPr="001E1FCA">
              <w:rPr>
                <w:rFonts w:eastAsia="Times New Roman" w:cs="Times New Roman"/>
                <w:sz w:val="22"/>
                <w:szCs w:val="22"/>
                <w:lang w:eastAsia="pl-PL"/>
              </w:rPr>
              <w:t xml:space="preserve">b/ ocena merytoryczna: w przypadku egzaminu maturalnego (nowa matura) - konkurs świadectw z uwzględnieniem trzech przedmiotów obowiązkowych. </w:t>
            </w:r>
          </w:p>
          <w:p w:rsidR="00A4596F" w:rsidRPr="00B33361" w:rsidRDefault="001E1FCA" w:rsidP="00A11131">
            <w:pPr>
              <w:pStyle w:val="Akapitzlist"/>
              <w:spacing w:after="0" w:line="240" w:lineRule="auto"/>
              <w:ind w:left="0"/>
              <w:rPr>
                <w:rFonts w:ascii="Times New Roman" w:hAnsi="Times New Roman"/>
                <w:sz w:val="24"/>
                <w:szCs w:val="24"/>
              </w:rPr>
            </w:pPr>
            <w:r w:rsidRPr="001E1FCA">
              <w:rPr>
                <w:rFonts w:ascii="Times New Roman" w:eastAsia="Times New Roman" w:hAnsi="Times New Roman"/>
                <w:lang w:eastAsia="pl-PL"/>
              </w:rPr>
              <w:t>Egzamin pisemny poziom podstawowy – 1% - 1 pkt. poziom rozszerzony – 1% - 2 pkt.; w przypadku egzaminu dojrzałości (stara matura) - konkurs świadectw obejmujący wyniki świadectw szkoły średniej z języka polskiego, języka obcego i matematyki lub geografii lub wiedzy o społeczeństwie.</w:t>
            </w:r>
            <w:r w:rsidRPr="001C65BA">
              <w:rPr>
                <w:rFonts w:eastAsia="Times New Roman"/>
                <w:lang w:eastAsia="pl-PL"/>
              </w:rPr>
              <w:t xml:space="preserve">  </w:t>
            </w:r>
          </w:p>
        </w:tc>
      </w:tr>
    </w:tbl>
    <w:p w:rsidR="00A75CAC" w:rsidRDefault="00A75CAC" w:rsidP="00784CC5">
      <w:pPr>
        <w:tabs>
          <w:tab w:val="center" w:pos="4536"/>
          <w:tab w:val="right" w:pos="9072"/>
        </w:tabs>
        <w:jc w:val="both"/>
      </w:pPr>
    </w:p>
    <w:sectPr w:rsidR="00A75CAC" w:rsidSect="00784CC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A756C"/>
    <w:multiLevelType w:val="hybridMultilevel"/>
    <w:tmpl w:val="73D646FC"/>
    <w:lvl w:ilvl="0" w:tplc="8C1A3DC6">
      <w:start w:val="1"/>
      <w:numFmt w:val="decimal"/>
      <w:lvlText w:val="%1."/>
      <w:lvlJc w:val="left"/>
      <w:pPr>
        <w:ind w:left="1068"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56FE1AD6"/>
    <w:multiLevelType w:val="hybridMultilevel"/>
    <w:tmpl w:val="E03E4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596F"/>
    <w:rsid w:val="000200C2"/>
    <w:rsid w:val="00062452"/>
    <w:rsid w:val="000741ED"/>
    <w:rsid w:val="000812D5"/>
    <w:rsid w:val="00090BB3"/>
    <w:rsid w:val="00143510"/>
    <w:rsid w:val="00176832"/>
    <w:rsid w:val="001A1AAC"/>
    <w:rsid w:val="001D3A26"/>
    <w:rsid w:val="001E1FCA"/>
    <w:rsid w:val="0027669F"/>
    <w:rsid w:val="0028512A"/>
    <w:rsid w:val="002E0322"/>
    <w:rsid w:val="002F247C"/>
    <w:rsid w:val="00323475"/>
    <w:rsid w:val="0038062A"/>
    <w:rsid w:val="0039497B"/>
    <w:rsid w:val="00394A57"/>
    <w:rsid w:val="00394CDC"/>
    <w:rsid w:val="003A35C3"/>
    <w:rsid w:val="003B008F"/>
    <w:rsid w:val="003B11C3"/>
    <w:rsid w:val="003E1D0F"/>
    <w:rsid w:val="003F5C5F"/>
    <w:rsid w:val="00420B87"/>
    <w:rsid w:val="0048045D"/>
    <w:rsid w:val="00497130"/>
    <w:rsid w:val="004A6E14"/>
    <w:rsid w:val="004E7EB0"/>
    <w:rsid w:val="00507AF5"/>
    <w:rsid w:val="00512CD9"/>
    <w:rsid w:val="005163A6"/>
    <w:rsid w:val="0057571C"/>
    <w:rsid w:val="00582267"/>
    <w:rsid w:val="005B58D4"/>
    <w:rsid w:val="005B6104"/>
    <w:rsid w:val="00601C2E"/>
    <w:rsid w:val="0061490C"/>
    <w:rsid w:val="00632433"/>
    <w:rsid w:val="00640DB9"/>
    <w:rsid w:val="0064738C"/>
    <w:rsid w:val="00656683"/>
    <w:rsid w:val="006C00B2"/>
    <w:rsid w:val="007472A1"/>
    <w:rsid w:val="00750268"/>
    <w:rsid w:val="00775992"/>
    <w:rsid w:val="00783E25"/>
    <w:rsid w:val="00784CC5"/>
    <w:rsid w:val="00810EA8"/>
    <w:rsid w:val="00843670"/>
    <w:rsid w:val="008E32C7"/>
    <w:rsid w:val="00917239"/>
    <w:rsid w:val="00965D0D"/>
    <w:rsid w:val="009B1021"/>
    <w:rsid w:val="00A11131"/>
    <w:rsid w:val="00A4596F"/>
    <w:rsid w:val="00A50D56"/>
    <w:rsid w:val="00A62BA7"/>
    <w:rsid w:val="00A75CAC"/>
    <w:rsid w:val="00A9502A"/>
    <w:rsid w:val="00AE2F0B"/>
    <w:rsid w:val="00AF13DF"/>
    <w:rsid w:val="00BB41EA"/>
    <w:rsid w:val="00BD14AE"/>
    <w:rsid w:val="00BE39A4"/>
    <w:rsid w:val="00C16D90"/>
    <w:rsid w:val="00C56761"/>
    <w:rsid w:val="00C6358B"/>
    <w:rsid w:val="00D01931"/>
    <w:rsid w:val="00D2178B"/>
    <w:rsid w:val="00D72D5E"/>
    <w:rsid w:val="00D84096"/>
    <w:rsid w:val="00DF7D2D"/>
    <w:rsid w:val="00E60CEF"/>
    <w:rsid w:val="00F43797"/>
    <w:rsid w:val="00F71F33"/>
    <w:rsid w:val="00F866D6"/>
    <w:rsid w:val="00F9569A"/>
    <w:rsid w:val="00FF73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96F"/>
    <w:pPr>
      <w:widowControl w:val="0"/>
      <w:suppressAutoHyphens/>
      <w:spacing w:line="240" w:lineRule="auto"/>
      <w:ind w:firstLine="0"/>
      <w:jc w:val="left"/>
    </w:pPr>
    <w:rPr>
      <w:rFonts w:ascii="Times New Roman" w:eastAsia="SimSun"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A4596F"/>
    <w:pPr>
      <w:spacing w:after="120"/>
    </w:pPr>
    <w:rPr>
      <w:rFonts w:eastAsia="Times New Roman" w:cs="Times New Roman"/>
      <w:kern w:val="0"/>
      <w:lang w:eastAsia="pl-PL" w:bidi="ar-SA"/>
    </w:rPr>
  </w:style>
  <w:style w:type="paragraph" w:styleId="Akapitzlist">
    <w:name w:val="List Paragraph"/>
    <w:basedOn w:val="Normalny"/>
    <w:uiPriority w:val="99"/>
    <w:qFormat/>
    <w:rsid w:val="00A4596F"/>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A4596F"/>
    <w:pPr>
      <w:autoSpaceDE w:val="0"/>
      <w:autoSpaceDN w:val="0"/>
      <w:adjustRightInd w:val="0"/>
      <w:spacing w:line="240" w:lineRule="auto"/>
      <w:ind w:firstLine="0"/>
      <w:jc w:val="left"/>
    </w:pPr>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semiHidden/>
    <w:unhideWhenUsed/>
    <w:rsid w:val="00074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0741ED"/>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783E25"/>
    <w:rPr>
      <w:rFonts w:ascii="Segoe UI" w:hAnsi="Segoe UI"/>
      <w:sz w:val="18"/>
      <w:szCs w:val="16"/>
    </w:rPr>
  </w:style>
  <w:style w:type="character" w:customStyle="1" w:styleId="TekstdymkaZnak">
    <w:name w:val="Tekst dymka Znak"/>
    <w:basedOn w:val="Domylnaczcionkaakapitu"/>
    <w:link w:val="Tekstdymka"/>
    <w:uiPriority w:val="99"/>
    <w:semiHidden/>
    <w:rsid w:val="00783E25"/>
    <w:rPr>
      <w:rFonts w:ascii="Segoe UI" w:eastAsia="SimSun" w:hAnsi="Segoe UI" w:cs="Mangal"/>
      <w:kern w:val="2"/>
      <w:sz w:val="18"/>
      <w:szCs w:val="16"/>
      <w:lang w:eastAsia="zh-CN" w:bidi="hi-IN"/>
    </w:rPr>
  </w:style>
</w:styles>
</file>

<file path=word/webSettings.xml><?xml version="1.0" encoding="utf-8"?>
<w:webSettings xmlns:r="http://schemas.openxmlformats.org/officeDocument/2006/relationships" xmlns:w="http://schemas.openxmlformats.org/wordprocessingml/2006/main">
  <w:divs>
    <w:div w:id="2981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1664</Words>
  <Characters>9988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Ujda-Dyńka</dc:creator>
  <cp:lastModifiedBy>Asus</cp:lastModifiedBy>
  <cp:revision>4</cp:revision>
  <cp:lastPrinted>2019-05-27T08:13:00Z</cp:lastPrinted>
  <dcterms:created xsi:type="dcterms:W3CDTF">2019-08-22T07:45:00Z</dcterms:created>
  <dcterms:modified xsi:type="dcterms:W3CDTF">2020-10-06T10:28:00Z</dcterms:modified>
</cp:coreProperties>
</file>