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445B3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z dnia  </w:t>
            </w:r>
            <w:r w:rsidR="00445B30">
              <w:rPr>
                <w:sz w:val="24"/>
                <w:szCs w:val="24"/>
              </w:rPr>
              <w:t>07.02.2022</w:t>
            </w:r>
          </w:p>
          <w:p w:rsidR="009B47B1" w:rsidRDefault="004E3113" w:rsidP="00C4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</w:t>
            </w:r>
            <w:r w:rsidR="00F67F98">
              <w:rPr>
                <w:b/>
              </w:rPr>
              <w:t xml:space="preserve">cyklu szkoleń </w:t>
            </w:r>
            <w:r w:rsidR="00C44910">
              <w:rPr>
                <w:b/>
              </w:rPr>
              <w:t>w zakresie funkcjonowania studentów z niepełnosprawnością w środowisku akademickim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45B30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44910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67F98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AFD7FF1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17</cp:revision>
  <cp:lastPrinted>2018-05-30T10:21:00Z</cp:lastPrinted>
  <dcterms:created xsi:type="dcterms:W3CDTF">2018-05-28T10:59:00Z</dcterms:created>
  <dcterms:modified xsi:type="dcterms:W3CDTF">2022-02-07T11:04:00Z</dcterms:modified>
</cp:coreProperties>
</file>